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B806" w14:textId="3E135807" w:rsidR="001B27CF" w:rsidRPr="00D16A95" w:rsidRDefault="001B27CF" w:rsidP="007C06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en-AU"/>
          <w14:ligatures w14:val="none"/>
        </w:rPr>
      </w:pPr>
      <w:r w:rsidRPr="00D16A95">
        <w:rPr>
          <w:rFonts w:ascii="Arial" w:eastAsia="Times New Roman" w:hAnsi="Arial" w:cs="Arial"/>
          <w:b/>
          <w:bCs/>
          <w:kern w:val="0"/>
          <w:sz w:val="36"/>
          <w:szCs w:val="36"/>
          <w:lang w:eastAsia="en-AU"/>
          <w14:ligatures w14:val="none"/>
        </w:rPr>
        <w:t>General Regulations</w:t>
      </w:r>
    </w:p>
    <w:p w14:paraId="5B03F440" w14:textId="77777777" w:rsidR="00FC1055" w:rsidRPr="00D16A95" w:rsidRDefault="001B27CF" w:rsidP="001B27CF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Introduction</w:t>
      </w: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</w:p>
    <w:p w14:paraId="21D0258A" w14:textId="77777777" w:rsidR="007C0098" w:rsidRPr="00D16A95" w:rsidRDefault="001B27CF" w:rsidP="007C0098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The General Regulations apply to all </w:t>
      </w:r>
      <w:r w:rsidR="00B10AB2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sections of </w:t>
      </w:r>
      <w:r w:rsidR="002F286E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all Agricultural Society </w:t>
      </w:r>
      <w:r w:rsidR="00F3047F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e</w:t>
      </w:r>
      <w:r w:rsidR="002F286E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vents</w:t>
      </w:r>
      <w:r w:rsidR="006F5905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including </w:t>
      </w: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exhibitors, competitors, commercial traders, officials, and volunteers participating in </w:t>
      </w:r>
      <w:r w:rsidR="00D81673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Agricultural Show</w:t>
      </w: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events.</w:t>
      </w:r>
    </w:p>
    <w:p w14:paraId="471EC72C" w14:textId="49482CCE" w:rsidR="00FC1055" w:rsidRPr="00D16A95" w:rsidRDefault="001B27CF" w:rsidP="007C0098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These regulations govern all aspects of participation, including exhibit entry, judging, safety, and compliance.</w:t>
      </w:r>
    </w:p>
    <w:p w14:paraId="431CB5B1" w14:textId="0A9D3425" w:rsidR="001B27CF" w:rsidRPr="00D16A95" w:rsidRDefault="00FC1055" w:rsidP="007C0098">
      <w:pPr>
        <w:pStyle w:val="ListParagraph"/>
        <w:numPr>
          <w:ilvl w:val="0"/>
          <w:numId w:val="15"/>
        </w:numPr>
        <w:spacing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The Special Regulations </w:t>
      </w:r>
      <w:r w:rsidR="006F5905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(where applicable) </w:t>
      </w: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apply only to the section of the Show to which they are expressed to relate. </w:t>
      </w:r>
      <w:r w:rsidR="00CE0ECA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(for example</w:t>
      </w:r>
      <w:r w:rsidR="003D6979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,</w:t>
      </w:r>
      <w:r w:rsidR="00CE0ECA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The Model Horse Regulations)</w:t>
      </w:r>
      <w:r w:rsidR="003D6979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Unless expressly stated in the General Regulations, if there is an inconsistency between the General Regulations and any Special Regulations, the Special Regulations prevail.</w:t>
      </w:r>
    </w:p>
    <w:p w14:paraId="52C51ABB" w14:textId="77777777" w:rsidR="008C758F" w:rsidRPr="00D16A95" w:rsidRDefault="008C758F" w:rsidP="008C758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Document Hierarchy Clause</w:t>
      </w:r>
    </w:p>
    <w:p w14:paraId="6E9F46FB" w14:textId="77777777" w:rsidR="008C758F" w:rsidRPr="00D16A95" w:rsidRDefault="008C758F" w:rsidP="008C758F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In the event of any inconsistency or conflict between the provisions of this Member Organisation’s governance and operational documents, the following hierarchy shall apply in determining precedence:</w:t>
      </w:r>
    </w:p>
    <w:p w14:paraId="6F72FD39" w14:textId="77777777" w:rsidR="008C758F" w:rsidRPr="00D16A95" w:rsidRDefault="008C758F" w:rsidP="008C75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Applicable legislation and statutory </w:t>
      </w:r>
      <w:proofErr w:type="gramStart"/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requirements;</w:t>
      </w:r>
      <w:proofErr w:type="gramEnd"/>
    </w:p>
    <w:p w14:paraId="29695F3B" w14:textId="77777777" w:rsidR="008C758F" w:rsidRPr="00D16A95" w:rsidRDefault="008C758F" w:rsidP="008C75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The Constitution of this Member </w:t>
      </w:r>
      <w:proofErr w:type="gramStart"/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Organisation;</w:t>
      </w:r>
      <w:proofErr w:type="gramEnd"/>
    </w:p>
    <w:p w14:paraId="4A772716" w14:textId="77777777" w:rsidR="008C758F" w:rsidRPr="00D16A95" w:rsidRDefault="008C758F" w:rsidP="008C75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Any Special Regulations issued by this Member </w:t>
      </w:r>
      <w:proofErr w:type="gramStart"/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Organisation;</w:t>
      </w:r>
      <w:proofErr w:type="gramEnd"/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</w:p>
    <w:p w14:paraId="582349DD" w14:textId="77777777" w:rsidR="008C758F" w:rsidRPr="00D16A95" w:rsidRDefault="008C758F" w:rsidP="008C75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The General Regulations of this Member </w:t>
      </w:r>
      <w:proofErr w:type="gramStart"/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Organisation;</w:t>
      </w:r>
      <w:proofErr w:type="gramEnd"/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</w:p>
    <w:p w14:paraId="5CD57914" w14:textId="77777777" w:rsidR="008C758F" w:rsidRPr="00D16A95" w:rsidRDefault="008C758F" w:rsidP="008C75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The Code of Conduct of this Member </w:t>
      </w:r>
      <w:proofErr w:type="gramStart"/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Organisation;</w:t>
      </w:r>
      <w:proofErr w:type="gramEnd"/>
    </w:p>
    <w:p w14:paraId="0492CD49" w14:textId="77777777" w:rsidR="008C758F" w:rsidRPr="00D16A95" w:rsidRDefault="008C758F" w:rsidP="008C75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The Conditions of Entry to Showgrounds of this Member Organisation.</w:t>
      </w:r>
    </w:p>
    <w:p w14:paraId="0EDA14E8" w14:textId="4BE61B33" w:rsidR="008C758F" w:rsidRPr="00D16A95" w:rsidRDefault="008C758F" w:rsidP="008C758F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All documents should be read in conjunction with this hierarchy.</w:t>
      </w:r>
    </w:p>
    <w:p w14:paraId="3F73165A" w14:textId="2DA29866" w:rsidR="001B27CF" w:rsidRPr="00D16A95" w:rsidRDefault="001B27CF" w:rsidP="001B27CF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These regulations should be read alongside the </w:t>
      </w:r>
      <w:hyperlink r:id="rId10" w:history="1">
        <w:r w:rsidRPr="00D16A95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>Code of Conduct</w:t>
        </w:r>
      </w:hyperlink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, which applies to all attendees and participants, setting out behavioural expectations to ensure a respectful and inclusive environment</w:t>
      </w:r>
      <w:r w:rsidR="00BA6868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for all attendees and participants</w:t>
      </w: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.</w:t>
      </w:r>
    </w:p>
    <w:p w14:paraId="3D2D4660" w14:textId="3F0BE9AB" w:rsidR="001B27CF" w:rsidRPr="00D16A95" w:rsidRDefault="001B27CF" w:rsidP="001B27CF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General public and spectators must also follow the </w:t>
      </w:r>
      <w:hyperlink r:id="rId11" w:history="1">
        <w:r w:rsidR="000D0117" w:rsidRPr="00D16A95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Conditions of </w:t>
        </w:r>
        <w:r w:rsidRPr="00D16A95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>Entry</w:t>
        </w:r>
        <w:r w:rsidR="00B66C43" w:rsidRPr="00D16A95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 for Showgrounds</w:t>
        </w:r>
        <w:r w:rsidRPr="00D16A95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 </w:t>
        </w:r>
      </w:hyperlink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which set out conditions for entering the Showground.</w:t>
      </w:r>
    </w:p>
    <w:p w14:paraId="2B0FE41B" w14:textId="77777777" w:rsidR="001B27CF" w:rsidRPr="00D16A95" w:rsidRDefault="001B27CF" w:rsidP="001B27C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1. Who Must Comply</w:t>
      </w:r>
    </w:p>
    <w:p w14:paraId="1BAEB3F5" w14:textId="77777777" w:rsidR="001B27CF" w:rsidRPr="00D16A95" w:rsidRDefault="001B27CF" w:rsidP="001B2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All exhibitors, competitors, commercial traders, officials, and volunteers.</w:t>
      </w:r>
    </w:p>
    <w:p w14:paraId="183A70CF" w14:textId="1725DDA7" w:rsidR="001B27CF" w:rsidRPr="00D16A95" w:rsidRDefault="001B27CF" w:rsidP="001B2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Compliance with the</w:t>
      </w:r>
      <w:hyperlink r:id="rId12" w:history="1">
        <w:r w:rsidRPr="00D16A95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 Code of Conduct </w:t>
        </w:r>
      </w:hyperlink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is mandatory.</w:t>
      </w:r>
    </w:p>
    <w:p w14:paraId="15066E86" w14:textId="77777777" w:rsidR="001B27CF" w:rsidRPr="00D16A95" w:rsidRDefault="001B27CF" w:rsidP="001B27C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2. Exhibit Entries</w:t>
      </w:r>
    </w:p>
    <w:p w14:paraId="32CABC6F" w14:textId="1015CD78" w:rsidR="001B27CF" w:rsidRPr="00D16A95" w:rsidRDefault="001B27CF" w:rsidP="001B2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Entries must be submitted correctly and </w:t>
      </w:r>
      <w:r w:rsidR="00E74C57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by the date stated on the Show Schedule</w:t>
      </w: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.</w:t>
      </w:r>
    </w:p>
    <w:p w14:paraId="62E49715" w14:textId="0509C45A" w:rsidR="00764BEC" w:rsidRPr="00D16A95" w:rsidRDefault="00764BEC" w:rsidP="001B2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Where applicable Waiver Forms must be signed and wrist bands worn.</w:t>
      </w:r>
    </w:p>
    <w:p w14:paraId="26ABB92E" w14:textId="74B68131" w:rsidR="001B27CF" w:rsidRPr="00D16A95" w:rsidRDefault="001B27CF" w:rsidP="001B2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Exhibitors are responsible for the care and preparation of their exhibits.</w:t>
      </w:r>
      <w:r w:rsidR="00CE76D8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</w:p>
    <w:p w14:paraId="24EBDECC" w14:textId="77777777" w:rsidR="001B27CF" w:rsidRPr="00D16A95" w:rsidRDefault="001B27CF" w:rsidP="001B2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False or misleading entries are prohibited.</w:t>
      </w:r>
    </w:p>
    <w:p w14:paraId="07CEFDB9" w14:textId="77777777" w:rsidR="001B27CF" w:rsidRPr="00D16A95" w:rsidRDefault="001B27CF" w:rsidP="001B27C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3. Judging and Awards</w:t>
      </w:r>
    </w:p>
    <w:p w14:paraId="2AE84BDE" w14:textId="2F782EE4" w:rsidR="001B27CF" w:rsidRPr="00D16A95" w:rsidRDefault="00F15068" w:rsidP="001B2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Each Section has established judging criteria</w:t>
      </w:r>
      <w:r w:rsidR="001B27CF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.</w:t>
      </w:r>
    </w:p>
    <w:p w14:paraId="2CB35D30" w14:textId="77777777" w:rsidR="001B27CF" w:rsidRPr="00D16A95" w:rsidRDefault="001B27CF" w:rsidP="001B2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Judges’ decisions are final.</w:t>
      </w:r>
    </w:p>
    <w:p w14:paraId="780AD699" w14:textId="77777777" w:rsidR="001B27CF" w:rsidRPr="00D16A95" w:rsidRDefault="001B27CF" w:rsidP="001B2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Awards may be withdrawn if rules are breached.</w:t>
      </w:r>
    </w:p>
    <w:p w14:paraId="4543A71D" w14:textId="31F706F1" w:rsidR="001E6CA2" w:rsidRPr="00D16A95" w:rsidRDefault="001E6CA2" w:rsidP="001E6CA2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lastRenderedPageBreak/>
        <w:t>4. Animal Welfare</w:t>
      </w:r>
    </w:p>
    <w:p w14:paraId="440D9E26" w14:textId="0F07C1CD" w:rsidR="00A8200D" w:rsidRPr="00D16A95" w:rsidRDefault="00A8200D" w:rsidP="006D1AE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  <w:t>Exhibitors are required to adhere to all animal welfare and biosecurity regulations.</w:t>
      </w:r>
      <w:r w:rsidRPr="00D16A95"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  <w:br/>
        <w:t xml:space="preserve">This includes compliance with the </w:t>
      </w:r>
      <w:r w:rsidRPr="00D16A95">
        <w:rPr>
          <w:rFonts w:eastAsia="Times New Roman" w:cs="Times New Roman"/>
          <w:i/>
          <w:iCs/>
          <w:kern w:val="0"/>
          <w:sz w:val="20"/>
          <w:szCs w:val="20"/>
          <w:lang w:eastAsia="en-AU"/>
          <w14:ligatures w14:val="none"/>
        </w:rPr>
        <w:t>Prevention of Cruelty to Animals Act 1979 (NSW)</w:t>
      </w:r>
      <w:r w:rsidRPr="00D16A95"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  <w:t xml:space="preserve"> and the </w:t>
      </w:r>
      <w:r w:rsidRPr="00D16A95">
        <w:rPr>
          <w:rFonts w:eastAsia="Times New Roman" w:cs="Times New Roman"/>
          <w:i/>
          <w:iCs/>
          <w:kern w:val="0"/>
          <w:sz w:val="20"/>
          <w:szCs w:val="20"/>
          <w:lang w:eastAsia="en-AU"/>
          <w14:ligatures w14:val="none"/>
        </w:rPr>
        <w:t>Biosecurity Act 2015 (NSW)</w:t>
      </w:r>
      <w:r w:rsidRPr="00D16A95"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  <w:t>. Exhibitors may be required to submit Department of Primary Industries (DPI) animal health declarations prior to stock entering the grounds.</w:t>
      </w:r>
    </w:p>
    <w:p w14:paraId="20A8A9A0" w14:textId="77777777" w:rsidR="006D1AEB" w:rsidRPr="00D16A95" w:rsidRDefault="00A8200D" w:rsidP="006D1AE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  <w:t>Animals must be healthy and appropriate for competition/exhibition.</w:t>
      </w:r>
    </w:p>
    <w:p w14:paraId="5978EFD8" w14:textId="5B561851" w:rsidR="00A8200D" w:rsidRPr="00D16A95" w:rsidRDefault="00A8200D" w:rsidP="006D1AE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  <w:t>The Show Committee has the right to remove unfit animals.</w:t>
      </w:r>
    </w:p>
    <w:p w14:paraId="0A37090B" w14:textId="77777777" w:rsidR="001B27CF" w:rsidRPr="00D16A95" w:rsidRDefault="001B27CF" w:rsidP="001B27C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5. Safety &amp; Risk</w:t>
      </w:r>
    </w:p>
    <w:p w14:paraId="4CA7976B" w14:textId="270FACB1" w:rsidR="006C0637" w:rsidRPr="00D16A95" w:rsidRDefault="006C0637" w:rsidP="002550F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  <w:t>Exhibitors must comply with current and relevant laws and regulation.</w:t>
      </w:r>
      <w:r w:rsidR="00A41197" w:rsidRPr="00D16A95"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Pr="00D16A95"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  <w:t xml:space="preserve">This includes the </w:t>
      </w:r>
      <w:r w:rsidRPr="00D16A95">
        <w:rPr>
          <w:rFonts w:eastAsia="Times New Roman" w:cs="Times New Roman"/>
          <w:i/>
          <w:iCs/>
          <w:kern w:val="0"/>
          <w:sz w:val="20"/>
          <w:szCs w:val="20"/>
          <w:lang w:eastAsia="en-AU"/>
          <w14:ligatures w14:val="none"/>
        </w:rPr>
        <w:t>Work Health and Safety Act 2011 (NSW)</w:t>
      </w:r>
      <w:r w:rsidRPr="00D16A95"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  <w:t xml:space="preserve">. </w:t>
      </w:r>
    </w:p>
    <w:p w14:paraId="5468D34A" w14:textId="77777777" w:rsidR="006C0637" w:rsidRPr="00D16A95" w:rsidRDefault="006C0637" w:rsidP="002550F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  <w:t>All equipment and displays must be safe and secure.</w:t>
      </w:r>
      <w:r w:rsidRPr="00D16A95">
        <w:rPr>
          <w:rFonts w:eastAsia="Times New Roman" w:cs="Times New Roman"/>
          <w:kern w:val="0"/>
          <w:sz w:val="20"/>
          <w:szCs w:val="20"/>
          <w:lang w:eastAsia="en-AU"/>
          <w14:ligatures w14:val="none"/>
        </w:rPr>
        <w:br/>
        <w:t>Hazards and incidents must be reported to officials immediately.</w:t>
      </w:r>
    </w:p>
    <w:p w14:paraId="7F6C9313" w14:textId="77777777" w:rsidR="001B27CF" w:rsidRPr="00D16A95" w:rsidRDefault="001B27CF" w:rsidP="001B27C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6. Conduct &amp; Behaviour</w:t>
      </w:r>
    </w:p>
    <w:p w14:paraId="03534DD2" w14:textId="77777777" w:rsidR="001B27CF" w:rsidRPr="00D16A95" w:rsidRDefault="001B27CF" w:rsidP="001B27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All participants must behave respectfully and ethically.</w:t>
      </w:r>
    </w:p>
    <w:p w14:paraId="2DDD25F7" w14:textId="77777777" w:rsidR="001B27CF" w:rsidRPr="00D16A95" w:rsidRDefault="001B27CF" w:rsidP="001B27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Disruptive, offensive, or unsafe behaviour may result in disqualification or removal.</w:t>
      </w:r>
    </w:p>
    <w:p w14:paraId="180642D0" w14:textId="6543756F" w:rsidR="001B27CF" w:rsidRPr="00B32908" w:rsidRDefault="00D96B25" w:rsidP="001B27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Refer to </w:t>
      </w:r>
      <w:r w:rsidR="001B27CF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the </w:t>
      </w:r>
      <w:hyperlink r:id="rId13" w:history="1">
        <w:r w:rsidR="001B27CF" w:rsidRPr="00D16A95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Code of Conduct </w:t>
        </w:r>
      </w:hyperlink>
      <w:r w:rsidR="001B27CF" w:rsidRPr="00D16A9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for</w:t>
      </w:r>
      <w:r w:rsidR="001B27CF" w:rsidRPr="00B3290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behavioural expectations.</w:t>
      </w:r>
    </w:p>
    <w:p w14:paraId="433DD405" w14:textId="577673F0" w:rsidR="001B27CF" w:rsidRPr="00B32908" w:rsidRDefault="001B27CF" w:rsidP="00986A2C">
      <w:pPr>
        <w:pStyle w:val="ListParagraph"/>
        <w:numPr>
          <w:ilvl w:val="0"/>
          <w:numId w:val="1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284" w:hanging="295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B32908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Advertising &amp; Sales</w:t>
      </w:r>
    </w:p>
    <w:p w14:paraId="54BCEC96" w14:textId="77777777" w:rsidR="00986A2C" w:rsidRPr="00B32908" w:rsidRDefault="00986A2C" w:rsidP="00986A2C">
      <w:pPr>
        <w:pStyle w:val="NormalWeb"/>
        <w:numPr>
          <w:ilvl w:val="0"/>
          <w:numId w:val="7"/>
        </w:numPr>
        <w:rPr>
          <w:rFonts w:asciiTheme="minorHAnsi" w:hAnsiTheme="minorHAnsi"/>
          <w:b/>
          <w:bCs/>
          <w:sz w:val="20"/>
          <w:szCs w:val="20"/>
        </w:rPr>
      </w:pPr>
      <w:r w:rsidRPr="00B32908">
        <w:rPr>
          <w:rFonts w:asciiTheme="minorHAnsi" w:hAnsiTheme="minorHAnsi"/>
          <w:sz w:val="20"/>
          <w:szCs w:val="20"/>
        </w:rPr>
        <w:t>All sales and promotions must be pre-approved by the Show Society.</w:t>
      </w:r>
      <w:r w:rsidRPr="00B32908">
        <w:rPr>
          <w:rFonts w:asciiTheme="minorHAnsi" w:hAnsiTheme="minorHAnsi"/>
          <w:sz w:val="20"/>
          <w:szCs w:val="20"/>
        </w:rPr>
        <w:br/>
      </w:r>
      <w:r w:rsidRPr="00B32908">
        <w:rPr>
          <w:rStyle w:val="Strong"/>
          <w:rFonts w:asciiTheme="minorHAnsi" w:eastAsiaTheme="majorEastAsia" w:hAnsiTheme="minorHAnsi"/>
          <w:b w:val="0"/>
          <w:bCs w:val="0"/>
          <w:sz w:val="20"/>
          <w:szCs w:val="20"/>
        </w:rPr>
        <w:t xml:space="preserve">Approval will be assessed based on factors including public safety, compliance with the </w:t>
      </w:r>
      <w:r w:rsidRPr="00B32908">
        <w:rPr>
          <w:rStyle w:val="Emphasis"/>
          <w:rFonts w:asciiTheme="minorHAnsi" w:eastAsiaTheme="majorEastAsia" w:hAnsiTheme="minorHAnsi"/>
          <w:b/>
          <w:bCs/>
          <w:sz w:val="20"/>
          <w:szCs w:val="20"/>
        </w:rPr>
        <w:t>Food Act 2003 (NSW)</w:t>
      </w:r>
      <w:r w:rsidRPr="00B32908">
        <w:rPr>
          <w:rStyle w:val="Strong"/>
          <w:rFonts w:asciiTheme="minorHAnsi" w:eastAsiaTheme="majorEastAsia" w:hAnsiTheme="minorHAnsi"/>
          <w:b w:val="0"/>
          <w:bCs w:val="0"/>
          <w:sz w:val="20"/>
          <w:szCs w:val="20"/>
        </w:rPr>
        <w:t>, and product suitability. An internal review process is available for declined applications.</w:t>
      </w:r>
    </w:p>
    <w:p w14:paraId="0EA8A10E" w14:textId="77777777" w:rsidR="001B27CF" w:rsidRPr="00B32908" w:rsidRDefault="001B27CF" w:rsidP="001B27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B3290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No unauthorised advertising.</w:t>
      </w:r>
    </w:p>
    <w:p w14:paraId="76374B35" w14:textId="77777777" w:rsidR="001B27CF" w:rsidRPr="00B32908" w:rsidRDefault="001B27CF" w:rsidP="001B27C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B32908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8. Disputes &amp; Complaints</w:t>
      </w:r>
    </w:p>
    <w:p w14:paraId="5475DFA0" w14:textId="075C290D" w:rsidR="00B755D8" w:rsidRPr="00B32908" w:rsidRDefault="00E56F46" w:rsidP="00B755D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sz w:val="20"/>
          <w:szCs w:val="20"/>
        </w:rPr>
      </w:pPr>
      <w:r w:rsidRPr="00B32908">
        <w:rPr>
          <w:sz w:val="20"/>
          <w:szCs w:val="20"/>
        </w:rPr>
        <w:t>Formal protests must be lodged in line with the Complaints Policy.</w:t>
      </w:r>
    </w:p>
    <w:p w14:paraId="5959B764" w14:textId="759F9310" w:rsidR="00B755D8" w:rsidRPr="00B32908" w:rsidRDefault="00E56F46" w:rsidP="00B755D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sz w:val="20"/>
          <w:szCs w:val="20"/>
        </w:rPr>
      </w:pPr>
      <w:r w:rsidRPr="00B32908">
        <w:rPr>
          <w:sz w:val="20"/>
          <w:szCs w:val="20"/>
        </w:rPr>
        <w:t xml:space="preserve">The Show Committee’s decision is final. Unless referred to the </w:t>
      </w:r>
      <w:proofErr w:type="spellStart"/>
      <w:r w:rsidRPr="00B32908">
        <w:rPr>
          <w:sz w:val="20"/>
          <w:szCs w:val="20"/>
        </w:rPr>
        <w:t>AgShows</w:t>
      </w:r>
      <w:proofErr w:type="spellEnd"/>
      <w:r w:rsidRPr="00B32908">
        <w:rPr>
          <w:sz w:val="20"/>
          <w:szCs w:val="20"/>
        </w:rPr>
        <w:t xml:space="preserve"> NSW Disciplinary Committee.</w:t>
      </w:r>
    </w:p>
    <w:p w14:paraId="0D157DD3" w14:textId="40C410A1" w:rsidR="00E56F46" w:rsidRPr="00B32908" w:rsidRDefault="00E56F46" w:rsidP="00B755D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B32908">
        <w:rPr>
          <w:rStyle w:val="Strong"/>
          <w:b w:val="0"/>
          <w:bCs w:val="0"/>
          <w:sz w:val="20"/>
          <w:szCs w:val="20"/>
        </w:rPr>
        <w:t xml:space="preserve">A dispute may be referred to the </w:t>
      </w:r>
      <w:proofErr w:type="spellStart"/>
      <w:r w:rsidRPr="00B32908">
        <w:rPr>
          <w:rStyle w:val="Strong"/>
          <w:b w:val="0"/>
          <w:bCs w:val="0"/>
          <w:sz w:val="20"/>
          <w:szCs w:val="20"/>
        </w:rPr>
        <w:t>AgShows</w:t>
      </w:r>
      <w:proofErr w:type="spellEnd"/>
      <w:r w:rsidRPr="00B32908">
        <w:rPr>
          <w:rStyle w:val="Strong"/>
          <w:b w:val="0"/>
          <w:bCs w:val="0"/>
          <w:sz w:val="20"/>
          <w:szCs w:val="20"/>
        </w:rPr>
        <w:t xml:space="preserve"> NSW Disciplinary Committee by a competitor or official </w:t>
      </w:r>
      <w:r w:rsidR="003B1E33" w:rsidRPr="00B32908">
        <w:rPr>
          <w:rStyle w:val="Strong"/>
          <w:b w:val="0"/>
          <w:bCs w:val="0"/>
          <w:sz w:val="20"/>
          <w:szCs w:val="20"/>
        </w:rPr>
        <w:t xml:space="preserve">if not </w:t>
      </w:r>
      <w:r w:rsidR="00B755D8" w:rsidRPr="00B32908">
        <w:rPr>
          <w:rStyle w:val="Strong"/>
          <w:b w:val="0"/>
          <w:bCs w:val="0"/>
          <w:sz w:val="20"/>
          <w:szCs w:val="20"/>
        </w:rPr>
        <w:t xml:space="preserve">already </w:t>
      </w:r>
      <w:r w:rsidR="003B1E33" w:rsidRPr="00B32908">
        <w:rPr>
          <w:rStyle w:val="Strong"/>
          <w:b w:val="0"/>
          <w:bCs w:val="0"/>
          <w:sz w:val="20"/>
          <w:szCs w:val="20"/>
        </w:rPr>
        <w:t>resolved by the Member Organisation</w:t>
      </w:r>
      <w:r w:rsidR="00B32908" w:rsidRPr="00B32908">
        <w:rPr>
          <w:rStyle w:val="Strong"/>
          <w:b w:val="0"/>
          <w:bCs w:val="0"/>
          <w:sz w:val="20"/>
          <w:szCs w:val="20"/>
        </w:rPr>
        <w:t>.</w:t>
      </w:r>
    </w:p>
    <w:p w14:paraId="00F90FE1" w14:textId="77777777" w:rsidR="001B27CF" w:rsidRPr="00B32908" w:rsidRDefault="001B27CF" w:rsidP="001B27C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B32908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9. Penalties</w:t>
      </w:r>
    </w:p>
    <w:p w14:paraId="6DE2CF60" w14:textId="77777777" w:rsidR="001B27CF" w:rsidRPr="00B32908" w:rsidRDefault="001B27CF" w:rsidP="001B27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B3290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Breaches may result in:</w:t>
      </w:r>
    </w:p>
    <w:p w14:paraId="313A8F43" w14:textId="77777777" w:rsidR="001B27CF" w:rsidRPr="00B32908" w:rsidRDefault="001B27CF" w:rsidP="001B27C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B3290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Warnings</w:t>
      </w:r>
    </w:p>
    <w:p w14:paraId="2E96C63F" w14:textId="77777777" w:rsidR="001B27CF" w:rsidRPr="00B32908" w:rsidRDefault="001B27CF" w:rsidP="001B27C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B3290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Fines</w:t>
      </w:r>
    </w:p>
    <w:p w14:paraId="69402E9C" w14:textId="77777777" w:rsidR="001B27CF" w:rsidRPr="00B32908" w:rsidRDefault="001B27CF" w:rsidP="001B27C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B3290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Disqualification</w:t>
      </w:r>
    </w:p>
    <w:p w14:paraId="5E48FAB3" w14:textId="77777777" w:rsidR="001B27CF" w:rsidRPr="00B32908" w:rsidRDefault="001B27CF" w:rsidP="001B27C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B3290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Removal from the Showground</w:t>
      </w:r>
    </w:p>
    <w:p w14:paraId="30C691AD" w14:textId="77777777" w:rsidR="001B27CF" w:rsidRPr="00B32908" w:rsidRDefault="001B27CF" w:rsidP="001B27C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B3290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Bans from future events</w:t>
      </w:r>
    </w:p>
    <w:p w14:paraId="703381C6" w14:textId="77777777" w:rsidR="002C2E7C" w:rsidRPr="00B32908" w:rsidRDefault="002C2E7C">
      <w:pPr>
        <w:rPr>
          <w:rFonts w:cs="Arial"/>
          <w:sz w:val="20"/>
          <w:szCs w:val="20"/>
        </w:rPr>
      </w:pPr>
    </w:p>
    <w:sectPr w:rsidR="002C2E7C" w:rsidRPr="00B32908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ED76" w14:textId="77777777" w:rsidR="00232796" w:rsidRDefault="00232796" w:rsidP="006F5905">
      <w:pPr>
        <w:spacing w:after="0" w:line="240" w:lineRule="auto"/>
      </w:pPr>
      <w:r>
        <w:separator/>
      </w:r>
    </w:p>
  </w:endnote>
  <w:endnote w:type="continuationSeparator" w:id="0">
    <w:p w14:paraId="42EA0F13" w14:textId="77777777" w:rsidR="00232796" w:rsidRDefault="00232796" w:rsidP="006F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9C11" w14:textId="315AC27F" w:rsidR="006F5905" w:rsidRPr="00B32908" w:rsidRDefault="006F5905">
    <w:pPr>
      <w:pStyle w:val="Footer"/>
      <w:rPr>
        <w:sz w:val="20"/>
        <w:szCs w:val="20"/>
        <w:lang w:val="en-US"/>
      </w:rPr>
    </w:pPr>
    <w:r w:rsidRPr="00B32908">
      <w:rPr>
        <w:sz w:val="20"/>
        <w:szCs w:val="20"/>
        <w:lang w:val="en-US"/>
      </w:rPr>
      <w:t xml:space="preserve">General Regulations </w:t>
    </w:r>
    <w:r w:rsidR="00020589">
      <w:rPr>
        <w:sz w:val="20"/>
        <w:szCs w:val="20"/>
        <w:lang w:val="en-US"/>
      </w:rPr>
      <w:t>Approved Aug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4FEE" w14:textId="77777777" w:rsidR="00232796" w:rsidRDefault="00232796" w:rsidP="006F5905">
      <w:pPr>
        <w:spacing w:after="0" w:line="240" w:lineRule="auto"/>
      </w:pPr>
      <w:r>
        <w:separator/>
      </w:r>
    </w:p>
  </w:footnote>
  <w:footnote w:type="continuationSeparator" w:id="0">
    <w:p w14:paraId="0C8AD22E" w14:textId="77777777" w:rsidR="00232796" w:rsidRDefault="00232796" w:rsidP="006F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24D7" w14:textId="55CCEE18" w:rsidR="009A330B" w:rsidRPr="005B49CF" w:rsidRDefault="009A330B" w:rsidP="009A330B">
    <w:pPr>
      <w:pStyle w:val="Header"/>
      <w:jc w:val="center"/>
      <w:rPr>
        <w:b/>
        <w:bCs/>
        <w:sz w:val="32"/>
        <w:szCs w:val="32"/>
        <w:lang w:val="en-US"/>
      </w:rPr>
    </w:pPr>
    <w:r w:rsidRPr="003D6979">
      <w:rPr>
        <w:b/>
        <w:bCs/>
        <w:noProof/>
        <w:color w:val="EE0000"/>
        <w:sz w:val="32"/>
        <w:szCs w:val="32"/>
        <w:lang w:val="en-US"/>
      </w:rPr>
      <w:t xml:space="preserve">[INSERT </w:t>
    </w:r>
    <w:r w:rsidR="003D6979" w:rsidRPr="003D6979">
      <w:rPr>
        <w:b/>
        <w:bCs/>
        <w:noProof/>
        <w:color w:val="EE0000"/>
        <w:sz w:val="32"/>
        <w:szCs w:val="32"/>
        <w:lang w:val="en-US"/>
      </w:rPr>
      <w:t xml:space="preserve">LOGO &amp; </w:t>
    </w:r>
    <w:r w:rsidRPr="003D6979">
      <w:rPr>
        <w:b/>
        <w:bCs/>
        <w:noProof/>
        <w:color w:val="EE0000"/>
        <w:sz w:val="32"/>
        <w:szCs w:val="32"/>
        <w:lang w:val="en-US"/>
      </w:rPr>
      <w:t>NAME OF MEMBER ORGANISATION</w:t>
    </w:r>
    <w:r>
      <w:rPr>
        <w:b/>
        <w:bCs/>
        <w:noProof/>
        <w:sz w:val="32"/>
        <w:szCs w:val="32"/>
        <w:lang w:val="en-US"/>
      </w:rPr>
      <w:t>]</w:t>
    </w:r>
  </w:p>
  <w:p w14:paraId="2E27ACDC" w14:textId="49BC18D5" w:rsidR="007E32D7" w:rsidRDefault="007E32D7" w:rsidP="007C06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600C"/>
    <w:multiLevelType w:val="multilevel"/>
    <w:tmpl w:val="F6A2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C4F90"/>
    <w:multiLevelType w:val="multilevel"/>
    <w:tmpl w:val="19CC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84183"/>
    <w:multiLevelType w:val="multilevel"/>
    <w:tmpl w:val="005E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D4B9C"/>
    <w:multiLevelType w:val="multilevel"/>
    <w:tmpl w:val="BCAE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71C3B"/>
    <w:multiLevelType w:val="multilevel"/>
    <w:tmpl w:val="70AA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D14E3"/>
    <w:multiLevelType w:val="multilevel"/>
    <w:tmpl w:val="F54C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84559"/>
    <w:multiLevelType w:val="multilevel"/>
    <w:tmpl w:val="3C8A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B139B"/>
    <w:multiLevelType w:val="multilevel"/>
    <w:tmpl w:val="3BE8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C707C"/>
    <w:multiLevelType w:val="hybridMultilevel"/>
    <w:tmpl w:val="B64E683E"/>
    <w:lvl w:ilvl="0" w:tplc="FA2ACE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B66B8"/>
    <w:multiLevelType w:val="hybridMultilevel"/>
    <w:tmpl w:val="ED743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A03CA"/>
    <w:multiLevelType w:val="multilevel"/>
    <w:tmpl w:val="3BE8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7200B"/>
    <w:multiLevelType w:val="multilevel"/>
    <w:tmpl w:val="F69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27690D"/>
    <w:multiLevelType w:val="hybridMultilevel"/>
    <w:tmpl w:val="E5D49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C133C"/>
    <w:multiLevelType w:val="multilevel"/>
    <w:tmpl w:val="39EC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24111E"/>
    <w:multiLevelType w:val="multilevel"/>
    <w:tmpl w:val="F54C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07899">
    <w:abstractNumId w:val="6"/>
  </w:num>
  <w:num w:numId="2" w16cid:durableId="380322814">
    <w:abstractNumId w:val="1"/>
  </w:num>
  <w:num w:numId="3" w16cid:durableId="14622817">
    <w:abstractNumId w:val="3"/>
  </w:num>
  <w:num w:numId="4" w16cid:durableId="1500653270">
    <w:abstractNumId w:val="11"/>
  </w:num>
  <w:num w:numId="5" w16cid:durableId="359823201">
    <w:abstractNumId w:val="0"/>
  </w:num>
  <w:num w:numId="6" w16cid:durableId="605428653">
    <w:abstractNumId w:val="2"/>
  </w:num>
  <w:num w:numId="7" w16cid:durableId="1814256484">
    <w:abstractNumId w:val="13"/>
  </w:num>
  <w:num w:numId="8" w16cid:durableId="1539778382">
    <w:abstractNumId w:val="10"/>
  </w:num>
  <w:num w:numId="9" w16cid:durableId="956180348">
    <w:abstractNumId w:val="4"/>
  </w:num>
  <w:num w:numId="10" w16cid:durableId="1584752232">
    <w:abstractNumId w:val="8"/>
  </w:num>
  <w:num w:numId="11" w16cid:durableId="1575431417">
    <w:abstractNumId w:val="5"/>
  </w:num>
  <w:num w:numId="12" w16cid:durableId="995647903">
    <w:abstractNumId w:val="9"/>
  </w:num>
  <w:num w:numId="13" w16cid:durableId="354354488">
    <w:abstractNumId w:val="12"/>
  </w:num>
  <w:num w:numId="14" w16cid:durableId="783690035">
    <w:abstractNumId w:val="7"/>
  </w:num>
  <w:num w:numId="15" w16cid:durableId="162862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CF"/>
    <w:rsid w:val="00020589"/>
    <w:rsid w:val="00037C7A"/>
    <w:rsid w:val="000918C8"/>
    <w:rsid w:val="000A766B"/>
    <w:rsid w:val="000C3702"/>
    <w:rsid w:val="000D0117"/>
    <w:rsid w:val="0011557F"/>
    <w:rsid w:val="001417D5"/>
    <w:rsid w:val="001576AA"/>
    <w:rsid w:val="00160249"/>
    <w:rsid w:val="001B27CF"/>
    <w:rsid w:val="001C66C4"/>
    <w:rsid w:val="001D3AB7"/>
    <w:rsid w:val="001E6CA2"/>
    <w:rsid w:val="00232796"/>
    <w:rsid w:val="00242155"/>
    <w:rsid w:val="002550F0"/>
    <w:rsid w:val="0026631D"/>
    <w:rsid w:val="00267229"/>
    <w:rsid w:val="002C2E7C"/>
    <w:rsid w:val="002F286E"/>
    <w:rsid w:val="00302F89"/>
    <w:rsid w:val="00347A98"/>
    <w:rsid w:val="0037279A"/>
    <w:rsid w:val="00376E8F"/>
    <w:rsid w:val="003B1E33"/>
    <w:rsid w:val="003C5404"/>
    <w:rsid w:val="003D6979"/>
    <w:rsid w:val="004C24B6"/>
    <w:rsid w:val="005723C8"/>
    <w:rsid w:val="005B2AEC"/>
    <w:rsid w:val="00624652"/>
    <w:rsid w:val="00645E47"/>
    <w:rsid w:val="0065217E"/>
    <w:rsid w:val="006B11E5"/>
    <w:rsid w:val="006C0637"/>
    <w:rsid w:val="006D1AEB"/>
    <w:rsid w:val="006D7F87"/>
    <w:rsid w:val="006F5905"/>
    <w:rsid w:val="007139E7"/>
    <w:rsid w:val="00715786"/>
    <w:rsid w:val="007376C2"/>
    <w:rsid w:val="00750E9C"/>
    <w:rsid w:val="0075466A"/>
    <w:rsid w:val="00764BEC"/>
    <w:rsid w:val="007C0098"/>
    <w:rsid w:val="007C065B"/>
    <w:rsid w:val="007C0E15"/>
    <w:rsid w:val="007E32D7"/>
    <w:rsid w:val="008028EE"/>
    <w:rsid w:val="00812AD4"/>
    <w:rsid w:val="008C758F"/>
    <w:rsid w:val="008D0D74"/>
    <w:rsid w:val="008F2FF5"/>
    <w:rsid w:val="00924AA8"/>
    <w:rsid w:val="00986A2C"/>
    <w:rsid w:val="00991932"/>
    <w:rsid w:val="009A294D"/>
    <w:rsid w:val="009A330B"/>
    <w:rsid w:val="009C262A"/>
    <w:rsid w:val="00A10E45"/>
    <w:rsid w:val="00A41197"/>
    <w:rsid w:val="00A8200D"/>
    <w:rsid w:val="00AA2C80"/>
    <w:rsid w:val="00AE4B44"/>
    <w:rsid w:val="00AF6EB8"/>
    <w:rsid w:val="00B10AB2"/>
    <w:rsid w:val="00B32908"/>
    <w:rsid w:val="00B32B87"/>
    <w:rsid w:val="00B46FB0"/>
    <w:rsid w:val="00B66C43"/>
    <w:rsid w:val="00B755D8"/>
    <w:rsid w:val="00BA6868"/>
    <w:rsid w:val="00C44CFF"/>
    <w:rsid w:val="00C820D6"/>
    <w:rsid w:val="00CC7E5B"/>
    <w:rsid w:val="00CE0ECA"/>
    <w:rsid w:val="00CE1083"/>
    <w:rsid w:val="00CE76D8"/>
    <w:rsid w:val="00D005E3"/>
    <w:rsid w:val="00D16A95"/>
    <w:rsid w:val="00D377E7"/>
    <w:rsid w:val="00D81673"/>
    <w:rsid w:val="00D962FC"/>
    <w:rsid w:val="00D96B25"/>
    <w:rsid w:val="00DC5153"/>
    <w:rsid w:val="00DE43F8"/>
    <w:rsid w:val="00DF4ED0"/>
    <w:rsid w:val="00DF73D4"/>
    <w:rsid w:val="00E06F25"/>
    <w:rsid w:val="00E16E61"/>
    <w:rsid w:val="00E56F46"/>
    <w:rsid w:val="00E74C57"/>
    <w:rsid w:val="00EE398B"/>
    <w:rsid w:val="00F108A2"/>
    <w:rsid w:val="00F12BE7"/>
    <w:rsid w:val="00F15068"/>
    <w:rsid w:val="00F3047F"/>
    <w:rsid w:val="00F45EF1"/>
    <w:rsid w:val="00FA53B6"/>
    <w:rsid w:val="00FC1055"/>
    <w:rsid w:val="00FD2D63"/>
    <w:rsid w:val="00FF10F6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BDB9D"/>
  <w15:chartTrackingRefBased/>
  <w15:docId w15:val="{FF14AD39-6B0A-481B-BA46-9C70A6D8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7CF"/>
  </w:style>
  <w:style w:type="paragraph" w:styleId="Heading1">
    <w:name w:val="heading 1"/>
    <w:basedOn w:val="Normal"/>
    <w:next w:val="Normal"/>
    <w:link w:val="Heading1Char"/>
    <w:uiPriority w:val="9"/>
    <w:qFormat/>
    <w:rsid w:val="001B2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2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7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5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905"/>
  </w:style>
  <w:style w:type="paragraph" w:styleId="Footer">
    <w:name w:val="footer"/>
    <w:basedOn w:val="Normal"/>
    <w:link w:val="FooterChar"/>
    <w:uiPriority w:val="99"/>
    <w:unhideWhenUsed/>
    <w:rsid w:val="006F5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905"/>
  </w:style>
  <w:style w:type="paragraph" w:styleId="Revision">
    <w:name w:val="Revision"/>
    <w:hidden/>
    <w:uiPriority w:val="99"/>
    <w:semiHidden/>
    <w:rsid w:val="00D005E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820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Emphasis">
    <w:name w:val="Emphasis"/>
    <w:basedOn w:val="DefaultParagraphFont"/>
    <w:uiPriority w:val="20"/>
    <w:qFormat/>
    <w:rsid w:val="00A8200D"/>
    <w:rPr>
      <w:i/>
      <w:iCs/>
    </w:rPr>
  </w:style>
  <w:style w:type="character" w:styleId="Hyperlink">
    <w:name w:val="Hyperlink"/>
    <w:basedOn w:val="DefaultParagraphFont"/>
    <w:uiPriority w:val="99"/>
    <w:unhideWhenUsed/>
    <w:rsid w:val="000205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gshowsnsw.org.au/resources/general-inf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showsnsw.org.au/resources/general-inf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showsnsw.org.au/resources/general-inf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agshowsnsw.org.au/resources/general-inf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42fa2f4-5c66-4794-8e76-0b860d03935a">
      <Terms xmlns="http://schemas.microsoft.com/office/infopath/2007/PartnerControls"/>
    </lcf76f155ced4ddcb4097134ff3c332f>
    <TaxCatchAll xmlns="5a87bfe8-1982-47db-a310-6f6901301b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9D4B13217C42B0C70F5BE31C32F6" ma:contentTypeVersion="15" ma:contentTypeDescription="Create a new document." ma:contentTypeScope="" ma:versionID="2703b905b8a481917c9ed053e34ad752">
  <xsd:schema xmlns:xsd="http://www.w3.org/2001/XMLSchema" xmlns:xs="http://www.w3.org/2001/XMLSchema" xmlns:p="http://schemas.microsoft.com/office/2006/metadata/properties" xmlns:ns1="http://schemas.microsoft.com/sharepoint/v3" xmlns:ns2="042fa2f4-5c66-4794-8e76-0b860d03935a" xmlns:ns3="5a87bfe8-1982-47db-a310-6f6901301bbe" targetNamespace="http://schemas.microsoft.com/office/2006/metadata/properties" ma:root="true" ma:fieldsID="a20154f67e107b16e50ddea7048d7924" ns1:_="" ns2:_="" ns3:_="">
    <xsd:import namespace="http://schemas.microsoft.com/sharepoint/v3"/>
    <xsd:import namespace="042fa2f4-5c66-4794-8e76-0b860d03935a"/>
    <xsd:import namespace="5a87bfe8-1982-47db-a310-6f6901301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a2f4-5c66-4794-8e76-0b860d0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3ae619-40d9-4853-a862-9658d0a09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bfe8-1982-47db-a310-6f6901301bb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f6b8cc-d38a-4866-b6ae-7ef7c96a38f9}" ma:internalName="TaxCatchAll" ma:showField="CatchAllData" ma:web="5a87bfe8-1982-47db-a310-6f6901301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FEA3F-A943-402D-A8B5-4BC274E51A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2fa2f4-5c66-4794-8e76-0b860d03935a"/>
    <ds:schemaRef ds:uri="5a87bfe8-1982-47db-a310-6f6901301bbe"/>
  </ds:schemaRefs>
</ds:datastoreItem>
</file>

<file path=customXml/itemProps2.xml><?xml version="1.0" encoding="utf-8"?>
<ds:datastoreItem xmlns:ds="http://schemas.openxmlformats.org/officeDocument/2006/customXml" ds:itemID="{B3AFA4EB-F91B-478C-9EF6-5644F5976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C4D68-4723-42F1-8FEE-5FD129449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2fa2f4-5c66-4794-8e76-0b860d03935a"/>
    <ds:schemaRef ds:uri="5a87bfe8-1982-47db-a310-6f6901301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 Admin</dc:creator>
  <cp:keywords/>
  <dc:description/>
  <cp:lastModifiedBy>ASC Admin</cp:lastModifiedBy>
  <cp:revision>8</cp:revision>
  <cp:lastPrinted>2025-05-30T02:44:00Z</cp:lastPrinted>
  <dcterms:created xsi:type="dcterms:W3CDTF">2025-08-05T00:09:00Z</dcterms:created>
  <dcterms:modified xsi:type="dcterms:W3CDTF">2025-08-18T03:13:00Z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0x010100030E9D4B13217C42B0C70F5BE31C32F6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