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0818" w14:textId="15B84786" w:rsidR="00EF2736" w:rsidRPr="003B4BE6" w:rsidRDefault="00E55C79" w:rsidP="00182F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36"/>
          <w:szCs w:val="36"/>
          <w:lang w:eastAsia="en-AU"/>
          <w14:ligatures w14:val="none"/>
        </w:rPr>
      </w:pPr>
      <w:r w:rsidRPr="003B4BE6"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  <w:t>Conditions of Entry</w:t>
      </w:r>
      <w:r w:rsidR="00A767E2" w:rsidRPr="003B4BE6"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  <w:t xml:space="preserve"> to Agricultural Showgrounds</w:t>
      </w:r>
    </w:p>
    <w:p w14:paraId="2CF53C83" w14:textId="66D62AD6" w:rsidR="00EF2736" w:rsidRPr="008A60F3" w:rsidRDefault="00EF2736" w:rsidP="00EF2736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Introduction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The General Conditions </w:t>
      </w:r>
      <w:r w:rsidR="00E326EB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of Entry </w:t>
      </w:r>
      <w:r w:rsidR="0034499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to Showgrounds 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apply to all patrons, spectators, and visitors entering the Showground during any Ag</w:t>
      </w:r>
      <w:r w:rsidR="00C0742D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ricultural 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Show event. These conditions set out the terms of entry, including safety rules, prohibited items, and patron responsibilities to ensure a safe, enjoyable, and respectful experience for all.</w:t>
      </w:r>
    </w:p>
    <w:p w14:paraId="571F457B" w14:textId="26166C45" w:rsidR="00EF2736" w:rsidRPr="008A60F3" w:rsidRDefault="00EF2736" w:rsidP="00EF2736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These </w:t>
      </w:r>
      <w:r w:rsidR="0034499B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Conditions of Entry </w:t>
      </w:r>
      <w:r w:rsidR="0034499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to Showgrounds</w:t>
      </w:r>
      <w:r w:rsidR="0034499B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should be read in conjunction with the</w:t>
      </w:r>
      <w:r w:rsidRPr="005F53E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  <w:hyperlink r:id="rId10" w:history="1">
        <w:r w:rsidRPr="005F53EC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Code of Conduct</w:t>
        </w:r>
      </w:hyperlink>
      <w:r w:rsidRPr="005F53E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which outlines the expected behaviour of all individuals attending or participating in </w:t>
      </w:r>
      <w:r w:rsidR="00022040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Ag</w:t>
      </w:r>
      <w:r w:rsidR="00022040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ricultural </w:t>
      </w:r>
      <w:r w:rsidR="00022040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Show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events.</w:t>
      </w:r>
    </w:p>
    <w:p w14:paraId="65B95BFE" w14:textId="0A17E2F3" w:rsidR="00EF2736" w:rsidRPr="008A60F3" w:rsidRDefault="00EF2736" w:rsidP="00EF2736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Competitors, exhibitors, traders, and officials are also bound by the </w:t>
      </w:r>
      <w:hyperlink r:id="rId11" w:history="1">
        <w:r w:rsidRPr="006C3E9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General Regulations</w:t>
        </w:r>
      </w:hyperlink>
      <w:r w:rsidRPr="006C3E9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 whi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ch cover participation, competitions, and trade-related requirements.</w:t>
      </w:r>
    </w:p>
    <w:p w14:paraId="121FBAD4" w14:textId="77777777" w:rsidR="008A60F3" w:rsidRPr="007A02F5" w:rsidRDefault="008A60F3" w:rsidP="008A60F3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Document Hierarchy Clause</w:t>
      </w:r>
    </w:p>
    <w:p w14:paraId="664F223E" w14:textId="77777777" w:rsidR="008A60F3" w:rsidRPr="007A02F5" w:rsidRDefault="008A60F3" w:rsidP="008A60F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In the event of any inconsistency or conflict between the provisions of this Member Organisation’s governance and operational documents, the following hierarchy shall apply in determining precedence:</w:t>
      </w:r>
    </w:p>
    <w:p w14:paraId="04E18C74" w14:textId="77777777" w:rsidR="008A60F3" w:rsidRPr="007A02F5" w:rsidRDefault="008A60F3" w:rsidP="008A6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Applicable legislation and statutory </w:t>
      </w:r>
      <w:proofErr w:type="gramStart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requirements;</w:t>
      </w:r>
      <w:proofErr w:type="gramEnd"/>
    </w:p>
    <w:p w14:paraId="5BD5EF24" w14:textId="77777777" w:rsidR="008A60F3" w:rsidRPr="007A02F5" w:rsidRDefault="008A60F3" w:rsidP="008A6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Constitution of this Member </w:t>
      </w:r>
      <w:proofErr w:type="gramStart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</w:p>
    <w:p w14:paraId="39443057" w14:textId="77777777" w:rsidR="008A60F3" w:rsidRPr="007A02F5" w:rsidRDefault="008A60F3" w:rsidP="008A6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Any Special Regulations issued by this Member </w:t>
      </w:r>
      <w:proofErr w:type="gramStart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07FF418A" w14:textId="77777777" w:rsidR="008A60F3" w:rsidRPr="007A02F5" w:rsidRDefault="008A60F3" w:rsidP="008A6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General Regulations of this Member </w:t>
      </w:r>
      <w:proofErr w:type="gramStart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66820CFE" w14:textId="77777777" w:rsidR="008A60F3" w:rsidRPr="007A02F5" w:rsidRDefault="008A60F3" w:rsidP="008A6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Code of Conduct of this Member </w:t>
      </w:r>
      <w:proofErr w:type="gramStart"/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</w:p>
    <w:p w14:paraId="26395F84" w14:textId="77777777" w:rsidR="008A60F3" w:rsidRPr="007A02F5" w:rsidRDefault="008A60F3" w:rsidP="008A6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 Conditions of Entry to Showgrounds of this Member Organisation.</w:t>
      </w:r>
    </w:p>
    <w:p w14:paraId="02120C5F" w14:textId="4E3E83E9" w:rsidR="008A60F3" w:rsidRPr="007A02F5" w:rsidRDefault="008A60F3" w:rsidP="008A60F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documents should be read in conjunction with this hierarchy.</w:t>
      </w:r>
    </w:p>
    <w:p w14:paraId="2B816B7A" w14:textId="25B5F386" w:rsidR="00EF2736" w:rsidRPr="008A60F3" w:rsidRDefault="00EF2736" w:rsidP="00EF273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1. Conditions of Entry</w:t>
      </w:r>
      <w:r w:rsidR="0034499B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 xml:space="preserve"> to Showgrounds</w:t>
      </w:r>
    </w:p>
    <w:p w14:paraId="12B95551" w14:textId="77777777" w:rsidR="0074402A" w:rsidRPr="008A60F3" w:rsidRDefault="00EF2736" w:rsidP="00E04185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0"/>
          <w:szCs w:val="20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patrons enter the Showground at their own risk.</w:t>
      </w:r>
      <w:r w:rsidR="0074402A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1F0501E9" w14:textId="0DC0C8FD" w:rsidR="00EF2736" w:rsidRPr="008A60F3" w:rsidRDefault="0074402A" w:rsidP="00E0418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 Show Society accepts no responsibility for personal injury, loss, or damage unless directly caused by its negligence.</w:t>
      </w:r>
    </w:p>
    <w:p w14:paraId="1E271247" w14:textId="5036C473" w:rsidR="00EF2736" w:rsidRPr="008A60F3" w:rsidRDefault="00EF2736" w:rsidP="00E0418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Patrons </w:t>
      </w:r>
      <w:r w:rsidR="003F0924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and Volunteers 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must comply with all signage and directions from </w:t>
      </w:r>
      <w:r w:rsidR="00032107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Mem</w:t>
      </w:r>
      <w:r w:rsidR="00313C39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ber Show Societies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5BF4DDF8" w14:textId="4E22C839" w:rsidR="00EF2736" w:rsidRPr="00820D4A" w:rsidRDefault="00EF2736" w:rsidP="00E0418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i/>
          <w:iCs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Bag checks and security searches may occur</w:t>
      </w:r>
      <w:r w:rsidR="00F36CD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in </w:t>
      </w:r>
      <w:r w:rsidR="004A67B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adherenc</w:t>
      </w:r>
      <w:r w:rsidR="004A67B8" w:rsidRPr="00820D4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 with</w:t>
      </w:r>
      <w:r w:rsidR="004A67B8" w:rsidRPr="00820D4A">
        <w:rPr>
          <w:rFonts w:ascii="Arial" w:eastAsia="Times New Roman" w:hAnsi="Arial" w:cs="Arial"/>
          <w:sz w:val="20"/>
          <w:szCs w:val="20"/>
        </w:rPr>
        <w:t xml:space="preserve"> s4 of the </w:t>
      </w:r>
      <w:proofErr w:type="spellStart"/>
      <w:r w:rsidR="004A67B8" w:rsidRPr="00820D4A">
        <w:rPr>
          <w:rFonts w:eastAsia="Times New Roman" w:cs="Arial"/>
          <w:i/>
          <w:iCs/>
          <w:kern w:val="0"/>
          <w:sz w:val="20"/>
          <w:szCs w:val="20"/>
          <w:lang w:eastAsia="en-AU"/>
          <w14:ligatures w14:val="none"/>
        </w:rPr>
        <w:t>Inclosed</w:t>
      </w:r>
      <w:proofErr w:type="spellEnd"/>
      <w:r w:rsidR="004A67B8" w:rsidRPr="00820D4A">
        <w:rPr>
          <w:rFonts w:eastAsia="Times New Roman" w:cs="Arial"/>
          <w:i/>
          <w:iCs/>
          <w:kern w:val="0"/>
          <w:sz w:val="20"/>
          <w:szCs w:val="20"/>
          <w:lang w:eastAsia="en-AU"/>
          <w14:ligatures w14:val="none"/>
        </w:rPr>
        <w:t xml:space="preserve"> Lands Protection Act 1901 (NSW)</w:t>
      </w:r>
    </w:p>
    <w:p w14:paraId="5BF46B6D" w14:textId="77777777" w:rsidR="00EF2736" w:rsidRPr="008A60F3" w:rsidRDefault="00EF2736" w:rsidP="00E0418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Certain areas are restricted, and unauthorised access is prohibited.</w:t>
      </w:r>
    </w:p>
    <w:p w14:paraId="4ACA29DC" w14:textId="7E0BDBB8" w:rsidR="00EF2736" w:rsidRPr="004C401C" w:rsidRDefault="00EF2736" w:rsidP="00E0418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Patrons are responsible for the security of their </w:t>
      </w:r>
      <w:r w:rsidR="00313C39"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personal </w:t>
      </w:r>
      <w:r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belongings.</w:t>
      </w:r>
    </w:p>
    <w:p w14:paraId="7DAAA9C2" w14:textId="159D0391" w:rsidR="00C402F6" w:rsidRPr="004C401C" w:rsidRDefault="00C402F6" w:rsidP="0016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Dogs must </w:t>
      </w:r>
      <w:proofErr w:type="gramStart"/>
      <w:r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be on a lead at all times</w:t>
      </w:r>
      <w:proofErr w:type="gramEnd"/>
      <w:r w:rsidR="00C5790E"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, unless in competition </w:t>
      </w:r>
    </w:p>
    <w:p w14:paraId="52440D91" w14:textId="776F9321" w:rsidR="00F71018" w:rsidRPr="004C401C" w:rsidRDefault="00F71018" w:rsidP="00F71018">
      <w:pPr>
        <w:numPr>
          <w:ilvl w:val="0"/>
          <w:numId w:val="9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Search and ejection powers</w:t>
      </w:r>
      <w:r w:rsidR="004C401C"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in adherenc</w:t>
      </w:r>
      <w:r w:rsidR="004C401C" w:rsidRPr="00820D4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 with</w:t>
      </w:r>
      <w:r w:rsidR="004C401C" w:rsidRPr="00820D4A">
        <w:rPr>
          <w:rFonts w:ascii="Arial" w:eastAsia="Times New Roman" w:hAnsi="Arial" w:cs="Arial"/>
          <w:sz w:val="20"/>
          <w:szCs w:val="20"/>
        </w:rPr>
        <w:t xml:space="preserve"> s4 of the </w:t>
      </w:r>
      <w:proofErr w:type="spellStart"/>
      <w:r w:rsidR="004C401C" w:rsidRPr="00820D4A">
        <w:rPr>
          <w:rFonts w:eastAsia="Times New Roman" w:cs="Arial"/>
          <w:i/>
          <w:iCs/>
          <w:kern w:val="0"/>
          <w:sz w:val="20"/>
          <w:szCs w:val="20"/>
          <w:lang w:eastAsia="en-AU"/>
          <w14:ligatures w14:val="none"/>
        </w:rPr>
        <w:t>Inclosed</w:t>
      </w:r>
      <w:proofErr w:type="spellEnd"/>
      <w:r w:rsidR="004C401C" w:rsidRPr="00820D4A">
        <w:rPr>
          <w:rFonts w:eastAsia="Times New Roman" w:cs="Arial"/>
          <w:i/>
          <w:iCs/>
          <w:kern w:val="0"/>
          <w:sz w:val="20"/>
          <w:szCs w:val="20"/>
          <w:lang w:eastAsia="en-AU"/>
          <w14:ligatures w14:val="none"/>
        </w:rPr>
        <w:t xml:space="preserve"> Lands Protection Act 1901 (NSW)</w:t>
      </w:r>
      <w:r w:rsidRPr="004C401C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48B4C107" w14:textId="0E2CFD5C" w:rsidR="00EF2736" w:rsidRDefault="00EF2736" w:rsidP="00EF273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4C401C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2. Prohibited Items</w:t>
      </w:r>
    </w:p>
    <w:p w14:paraId="595DF6CB" w14:textId="77777777" w:rsidR="00EF2736" w:rsidRPr="008A60F3" w:rsidRDefault="00EF2736" w:rsidP="00E04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Glass containers</w:t>
      </w:r>
    </w:p>
    <w:p w14:paraId="04D1AE01" w14:textId="77777777" w:rsidR="00EF2736" w:rsidRPr="008A60F3" w:rsidRDefault="00EF2736" w:rsidP="00E04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Alcohol and illicit drugs</w:t>
      </w:r>
    </w:p>
    <w:p w14:paraId="7B0D112F" w14:textId="77777777" w:rsidR="00EF2736" w:rsidRPr="008A60F3" w:rsidRDefault="00EF2736" w:rsidP="00E04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Weapons, fireworks, or flares</w:t>
      </w:r>
    </w:p>
    <w:p w14:paraId="3F593A73" w14:textId="77777777" w:rsidR="00EF2736" w:rsidRDefault="00EF2736" w:rsidP="00E04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Drones, scooters, or bicycles (except mobility aids)</w:t>
      </w:r>
    </w:p>
    <w:p w14:paraId="66C8F257" w14:textId="4F21B9FF" w:rsidR="002D4193" w:rsidRPr="002D4193" w:rsidRDefault="002D4193" w:rsidP="002D4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Large eskies or bags</w:t>
      </w:r>
    </w:p>
    <w:p w14:paraId="77D87F33" w14:textId="6F024260" w:rsidR="009C7083" w:rsidRDefault="009C7083" w:rsidP="00E04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items listed on the ASA Prohibited Items List</w:t>
      </w:r>
    </w:p>
    <w:p w14:paraId="04C014F4" w14:textId="77777777" w:rsidR="00B9672E" w:rsidRDefault="00B9672E" w:rsidP="007A02F5">
      <w:pPr>
        <w:rPr>
          <w:rFonts w:eastAsia="Times New Roman" w:cs="Arial"/>
          <w:sz w:val="20"/>
          <w:szCs w:val="20"/>
          <w:lang w:eastAsia="en-AU"/>
        </w:rPr>
      </w:pPr>
    </w:p>
    <w:p w14:paraId="4814C517" w14:textId="77777777" w:rsidR="003B4BE6" w:rsidRPr="007A02F5" w:rsidRDefault="003B4BE6" w:rsidP="007A02F5">
      <w:pPr>
        <w:rPr>
          <w:rFonts w:eastAsia="Times New Roman" w:cs="Arial"/>
          <w:sz w:val="20"/>
          <w:szCs w:val="20"/>
          <w:lang w:eastAsia="en-AU"/>
        </w:rPr>
      </w:pPr>
    </w:p>
    <w:p w14:paraId="5D0CE2DE" w14:textId="0BC37A1F" w:rsidR="00EF2736" w:rsidRPr="008A60F3" w:rsidRDefault="00EF2736" w:rsidP="00EF273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3. Safety and Emergency</w:t>
      </w:r>
      <w:r w:rsidR="0063307E"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 xml:space="preserve"> Procedures</w:t>
      </w:r>
    </w:p>
    <w:p w14:paraId="5268375D" w14:textId="3744CDF0" w:rsidR="00EF2736" w:rsidRPr="008A60F3" w:rsidRDefault="00EF2736" w:rsidP="007720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Patrons must follow all safety instructions</w:t>
      </w:r>
      <w:r w:rsidR="0063307E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and signage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0320C707" w14:textId="5EE58841" w:rsidR="00EF2736" w:rsidRPr="008A60F3" w:rsidRDefault="00EF2736" w:rsidP="007720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Emergency procedures and assembly areas are displayed</w:t>
      </w:r>
      <w:r w:rsidR="0063307E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throughout the venue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1B7FFBA9" w14:textId="77777777" w:rsidR="00EF2736" w:rsidRPr="008A60F3" w:rsidRDefault="00EF2736" w:rsidP="007720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Hazards and incidents must be reported to staff immediately.</w:t>
      </w:r>
    </w:p>
    <w:p w14:paraId="17E64B01" w14:textId="77777777" w:rsidR="00EF2736" w:rsidRPr="008A60F3" w:rsidRDefault="00EF2736" w:rsidP="00EF273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4. Behaviour</w:t>
      </w:r>
    </w:p>
    <w:p w14:paraId="78D83037" w14:textId="1C69E775" w:rsidR="00EF2736" w:rsidRPr="008A60F3" w:rsidRDefault="00EF2736" w:rsidP="007720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Patrons must behave respectfully and </w:t>
      </w:r>
      <w:r w:rsidR="0063307E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in accordance 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with the </w:t>
      </w:r>
      <w:hyperlink r:id="rId12" w:history="1">
        <w:r w:rsidRPr="00036665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Code of Conduct</w:t>
        </w:r>
      </w:hyperlink>
      <w:r w:rsidRPr="006C3E9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18BE996E" w14:textId="77777777" w:rsidR="00EF2736" w:rsidRPr="008A60F3" w:rsidRDefault="00EF2736" w:rsidP="007720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Offensive, dangerous, or disruptive behaviour may result in removal.</w:t>
      </w:r>
    </w:p>
    <w:p w14:paraId="6310D6B8" w14:textId="77777777" w:rsidR="00EF2736" w:rsidRDefault="00EF2736" w:rsidP="00EF273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5. Photography &amp; Media</w:t>
      </w:r>
    </w:p>
    <w:p w14:paraId="180A2ECE" w14:textId="422E9A3C" w:rsidR="00EF2736" w:rsidRPr="008A60F3" w:rsidRDefault="00EF2736" w:rsidP="001B22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By entering, patrons consent to being photographed or recorded for promotional </w:t>
      </w:r>
      <w:r w:rsidR="00797135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purposes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  <w:r w:rsidR="00B325E2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If </w:t>
      </w:r>
      <w:r w:rsidR="00507A8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you do not wish to consent to being photographed, please notify the Show Office.</w:t>
      </w:r>
    </w:p>
    <w:p w14:paraId="59B26622" w14:textId="55DABB67" w:rsidR="00EF2736" w:rsidRPr="008A60F3" w:rsidRDefault="00EF2736" w:rsidP="001B22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Commercial photography requires prior </w:t>
      </w:r>
      <w:r w:rsidR="00797135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written 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approval</w:t>
      </w:r>
      <w:r w:rsidR="00797135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from event organisers</w:t>
      </w: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144A85B7" w14:textId="063AD966" w:rsidR="00CB1E49" w:rsidRDefault="00EF2736" w:rsidP="00EF273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6. Smoking and Vaping</w:t>
      </w:r>
    </w:p>
    <w:p w14:paraId="3BE293EF" w14:textId="7E34B46D" w:rsidR="008426E0" w:rsidRPr="002526CA" w:rsidRDefault="00D373DA" w:rsidP="002D02CF">
      <w:pPr>
        <w:numPr>
          <w:ilvl w:val="0"/>
          <w:numId w:val="6"/>
        </w:numPr>
        <w:spacing w:before="100" w:beforeAutospacing="1" w:after="100" w:afterAutospacing="1" w:line="240" w:lineRule="auto"/>
        <w:ind w:left="284" w:firstLine="66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Adhere to </w:t>
      </w:r>
      <w:r w:rsidR="00EF2736"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Smoking and </w:t>
      </w:r>
      <w:r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V</w:t>
      </w:r>
      <w:r w:rsidR="00EF2736"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aping</w:t>
      </w:r>
      <w:r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restrictions </w:t>
      </w:r>
      <w:r w:rsidR="00E73110"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as per </w:t>
      </w:r>
      <w:r w:rsidR="008426E0" w:rsidRP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</w:t>
      </w:r>
      <w:r w:rsidR="008426E0" w:rsidRPr="002526CA">
        <w:rPr>
          <w:rFonts w:eastAsia="Times New Roman" w:cs="Arial"/>
          <w:i/>
          <w:iCs/>
          <w:sz w:val="20"/>
          <w:szCs w:val="20"/>
        </w:rPr>
        <w:t>Smoke-free Environment Act 2000 (NSW)</w:t>
      </w:r>
      <w:r w:rsidR="008426E0" w:rsidRPr="002526CA">
        <w:rPr>
          <w:rFonts w:eastAsia="Times New Roman" w:cs="Arial"/>
          <w:sz w:val="20"/>
          <w:szCs w:val="20"/>
        </w:rPr>
        <w:t xml:space="preserve"> </w:t>
      </w:r>
    </w:p>
    <w:p w14:paraId="42FC3D02" w14:textId="77777777" w:rsidR="007B5F70" w:rsidRPr="002526CA" w:rsidRDefault="007B5F70" w:rsidP="007B5F7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2526CA">
        <w:rPr>
          <w:rFonts w:eastAsia="Times New Roman" w:cs="Arial"/>
          <w:sz w:val="20"/>
          <w:szCs w:val="20"/>
        </w:rPr>
        <w:t>Smoking and vaping are confined to signed zones.</w:t>
      </w:r>
    </w:p>
    <w:p w14:paraId="0481517A" w14:textId="4C31C2AB" w:rsidR="00EF6697" w:rsidRPr="007A02F5" w:rsidRDefault="00EF6697" w:rsidP="007B5F70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7A02F5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7. Liability</w:t>
      </w:r>
    </w:p>
    <w:p w14:paraId="1012A236" w14:textId="79CCF875" w:rsidR="007E1767" w:rsidRDefault="001F2EBB" w:rsidP="0094673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 Member Show Society accepts no responsibility for personal injuries</w:t>
      </w:r>
      <w:r w:rsidR="00262E49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</w:t>
      </w:r>
      <w:r w:rsidR="007B5F70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262E49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loss or damage unless directly</w:t>
      </w:r>
      <w:r w:rsidR="00D75B10" w:rsidRPr="008A60F3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caused by its negligence</w:t>
      </w:r>
      <w:r w:rsidR="002526CA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in accordance with </w:t>
      </w:r>
      <w:r w:rsidR="002526CA" w:rsidRPr="002526CA">
        <w:rPr>
          <w:rFonts w:eastAsia="Times New Roman" w:cs="Arial"/>
          <w:i/>
          <w:iCs/>
          <w:kern w:val="0"/>
          <w:sz w:val="20"/>
          <w:szCs w:val="20"/>
          <w:lang w:eastAsia="en-AU"/>
          <w14:ligatures w14:val="none"/>
        </w:rPr>
        <w:t>Competition and Consumer Act 2010 (Sch 2, s 139A)</w:t>
      </w:r>
    </w:p>
    <w:sectPr w:rsidR="007E1767" w:rsidSect="007B5F70">
      <w:headerReference w:type="default" r:id="rId13"/>
      <w:footerReference w:type="default" r:id="rId14"/>
      <w:pgSz w:w="11906" w:h="16838"/>
      <w:pgMar w:top="1843" w:right="1440" w:bottom="426" w:left="144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3CEB" w14:textId="77777777" w:rsidR="00B163F0" w:rsidRDefault="00B163F0" w:rsidP="00182FF4">
      <w:pPr>
        <w:spacing w:after="0" w:line="240" w:lineRule="auto"/>
      </w:pPr>
      <w:r>
        <w:separator/>
      </w:r>
    </w:p>
  </w:endnote>
  <w:endnote w:type="continuationSeparator" w:id="0">
    <w:p w14:paraId="45F62F60" w14:textId="77777777" w:rsidR="00B163F0" w:rsidRDefault="00B163F0" w:rsidP="0018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4FFA" w14:textId="77777777" w:rsidR="00022040" w:rsidRDefault="00022040">
    <w:pPr>
      <w:pStyle w:val="Footer"/>
      <w:rPr>
        <w:sz w:val="20"/>
        <w:szCs w:val="20"/>
        <w:lang w:val="en-US"/>
      </w:rPr>
    </w:pPr>
  </w:p>
  <w:p w14:paraId="101BAB4B" w14:textId="15DA7205" w:rsidR="00182FF4" w:rsidRPr="007A02F5" w:rsidRDefault="00182FF4">
    <w:pPr>
      <w:pStyle w:val="Footer"/>
      <w:rPr>
        <w:sz w:val="20"/>
        <w:szCs w:val="20"/>
        <w:lang w:val="en-US"/>
      </w:rPr>
    </w:pPr>
    <w:r w:rsidRPr="007A02F5">
      <w:rPr>
        <w:sz w:val="20"/>
        <w:szCs w:val="20"/>
        <w:lang w:val="en-US"/>
      </w:rPr>
      <w:t>Conditions of Entry</w:t>
    </w:r>
    <w:r w:rsidR="00681662" w:rsidRPr="007A02F5">
      <w:rPr>
        <w:sz w:val="20"/>
        <w:szCs w:val="20"/>
        <w:lang w:val="en-US"/>
      </w:rPr>
      <w:t xml:space="preserve"> to Showgrounds</w:t>
    </w:r>
    <w:r w:rsidRPr="007A02F5">
      <w:rPr>
        <w:sz w:val="20"/>
        <w:szCs w:val="20"/>
        <w:lang w:val="en-US"/>
      </w:rPr>
      <w:t xml:space="preserve"> </w:t>
    </w:r>
    <w:r w:rsidR="00036665">
      <w:rPr>
        <w:sz w:val="20"/>
        <w:szCs w:val="20"/>
        <w:lang w:val="en-US"/>
      </w:rPr>
      <w:t>Approved Aug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5EB2" w14:textId="77777777" w:rsidR="00B163F0" w:rsidRDefault="00B163F0" w:rsidP="00182FF4">
      <w:pPr>
        <w:spacing w:after="0" w:line="240" w:lineRule="auto"/>
      </w:pPr>
      <w:r>
        <w:separator/>
      </w:r>
    </w:p>
  </w:footnote>
  <w:footnote w:type="continuationSeparator" w:id="0">
    <w:p w14:paraId="280E3D08" w14:textId="77777777" w:rsidR="00B163F0" w:rsidRDefault="00B163F0" w:rsidP="0018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03A1" w14:textId="3E75DBAE" w:rsidR="00C0742D" w:rsidRPr="0037116F" w:rsidRDefault="00C0742D" w:rsidP="00C0742D">
    <w:pPr>
      <w:pStyle w:val="Header"/>
      <w:jc w:val="center"/>
      <w:rPr>
        <w:b/>
        <w:bCs/>
        <w:color w:val="EE0000"/>
        <w:sz w:val="32"/>
        <w:szCs w:val="32"/>
        <w:lang w:val="en-US"/>
      </w:rPr>
    </w:pPr>
    <w:r w:rsidRPr="0037116F">
      <w:rPr>
        <w:b/>
        <w:bCs/>
        <w:noProof/>
        <w:color w:val="EE0000"/>
        <w:sz w:val="32"/>
        <w:szCs w:val="32"/>
        <w:lang w:val="en-US"/>
      </w:rPr>
      <w:t xml:space="preserve">[INSERT </w:t>
    </w:r>
    <w:r w:rsidR="003B4BE6" w:rsidRPr="0037116F">
      <w:rPr>
        <w:b/>
        <w:bCs/>
        <w:noProof/>
        <w:color w:val="EE0000"/>
        <w:sz w:val="32"/>
        <w:szCs w:val="32"/>
        <w:lang w:val="en-US"/>
      </w:rPr>
      <w:t xml:space="preserve">LOGO &amp; </w:t>
    </w:r>
    <w:r w:rsidRPr="0037116F">
      <w:rPr>
        <w:b/>
        <w:bCs/>
        <w:noProof/>
        <w:color w:val="EE0000"/>
        <w:sz w:val="32"/>
        <w:szCs w:val="32"/>
        <w:lang w:val="en-US"/>
      </w:rPr>
      <w:t>NAME OF MEMBER ORGANISATION]</w:t>
    </w:r>
  </w:p>
  <w:p w14:paraId="22F3B2B8" w14:textId="492B0FCA" w:rsidR="00B03BB5" w:rsidRDefault="00B03BB5" w:rsidP="00B03B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7E3"/>
    <w:multiLevelType w:val="hybridMultilevel"/>
    <w:tmpl w:val="2AA8DF6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27B"/>
    <w:multiLevelType w:val="hybridMultilevel"/>
    <w:tmpl w:val="60B09E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219C5"/>
    <w:multiLevelType w:val="multilevel"/>
    <w:tmpl w:val="AF6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20261"/>
    <w:multiLevelType w:val="multilevel"/>
    <w:tmpl w:val="E8D27E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30C36"/>
    <w:multiLevelType w:val="multilevel"/>
    <w:tmpl w:val="2E04C5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33E"/>
    <w:multiLevelType w:val="hybridMultilevel"/>
    <w:tmpl w:val="3F9249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D14E3"/>
    <w:multiLevelType w:val="multilevel"/>
    <w:tmpl w:val="F54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C437B"/>
    <w:multiLevelType w:val="hybridMultilevel"/>
    <w:tmpl w:val="000629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22E97"/>
    <w:multiLevelType w:val="multilevel"/>
    <w:tmpl w:val="48F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46322"/>
    <w:multiLevelType w:val="multilevel"/>
    <w:tmpl w:val="DC98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6316F"/>
    <w:multiLevelType w:val="multilevel"/>
    <w:tmpl w:val="1F50C4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05324"/>
    <w:multiLevelType w:val="multilevel"/>
    <w:tmpl w:val="975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E5DBE"/>
    <w:multiLevelType w:val="multilevel"/>
    <w:tmpl w:val="1F50C4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276AF"/>
    <w:multiLevelType w:val="multilevel"/>
    <w:tmpl w:val="E67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064EE2"/>
    <w:multiLevelType w:val="multilevel"/>
    <w:tmpl w:val="103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81794"/>
    <w:multiLevelType w:val="multilevel"/>
    <w:tmpl w:val="35F8D3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251438">
    <w:abstractNumId w:val="14"/>
  </w:num>
  <w:num w:numId="2" w16cid:durableId="1741753930">
    <w:abstractNumId w:val="4"/>
  </w:num>
  <w:num w:numId="3" w16cid:durableId="1711030390">
    <w:abstractNumId w:val="9"/>
  </w:num>
  <w:num w:numId="4" w16cid:durableId="488442997">
    <w:abstractNumId w:val="8"/>
  </w:num>
  <w:num w:numId="5" w16cid:durableId="1599754080">
    <w:abstractNumId w:val="2"/>
  </w:num>
  <w:num w:numId="6" w16cid:durableId="504130783">
    <w:abstractNumId w:val="12"/>
  </w:num>
  <w:num w:numId="7" w16cid:durableId="982075104">
    <w:abstractNumId w:val="11"/>
  </w:num>
  <w:num w:numId="8" w16cid:durableId="1547064246">
    <w:abstractNumId w:val="5"/>
  </w:num>
  <w:num w:numId="9" w16cid:durableId="1186796414">
    <w:abstractNumId w:val="0"/>
  </w:num>
  <w:num w:numId="10" w16cid:durableId="993685955">
    <w:abstractNumId w:val="15"/>
  </w:num>
  <w:num w:numId="11" w16cid:durableId="2019188314">
    <w:abstractNumId w:val="3"/>
  </w:num>
  <w:num w:numId="12" w16cid:durableId="565187411">
    <w:abstractNumId w:val="10"/>
  </w:num>
  <w:num w:numId="13" w16cid:durableId="671181510">
    <w:abstractNumId w:val="1"/>
  </w:num>
  <w:num w:numId="14" w16cid:durableId="1278951502">
    <w:abstractNumId w:val="7"/>
  </w:num>
  <w:num w:numId="15" w16cid:durableId="1575431417">
    <w:abstractNumId w:val="6"/>
  </w:num>
  <w:num w:numId="16" w16cid:durableId="2631492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36"/>
    <w:rsid w:val="00022040"/>
    <w:rsid w:val="00032107"/>
    <w:rsid w:val="00033F7A"/>
    <w:rsid w:val="00036665"/>
    <w:rsid w:val="001151F2"/>
    <w:rsid w:val="001617BA"/>
    <w:rsid w:val="0016578D"/>
    <w:rsid w:val="00182FF4"/>
    <w:rsid w:val="001B22DB"/>
    <w:rsid w:val="001F2EBB"/>
    <w:rsid w:val="002141E5"/>
    <w:rsid w:val="00242155"/>
    <w:rsid w:val="002526CA"/>
    <w:rsid w:val="00262E49"/>
    <w:rsid w:val="00287B01"/>
    <w:rsid w:val="002C2E7C"/>
    <w:rsid w:val="002D02CF"/>
    <w:rsid w:val="002D4193"/>
    <w:rsid w:val="00313C39"/>
    <w:rsid w:val="0034499B"/>
    <w:rsid w:val="00347A98"/>
    <w:rsid w:val="0037116F"/>
    <w:rsid w:val="0037279A"/>
    <w:rsid w:val="003A161F"/>
    <w:rsid w:val="003B4BE6"/>
    <w:rsid w:val="003D7A63"/>
    <w:rsid w:val="003F0924"/>
    <w:rsid w:val="00400726"/>
    <w:rsid w:val="00414E80"/>
    <w:rsid w:val="00422DE6"/>
    <w:rsid w:val="004A67B8"/>
    <w:rsid w:val="004B797D"/>
    <w:rsid w:val="004C401C"/>
    <w:rsid w:val="00507A85"/>
    <w:rsid w:val="005E186B"/>
    <w:rsid w:val="005F53EC"/>
    <w:rsid w:val="005F6BE9"/>
    <w:rsid w:val="0063307E"/>
    <w:rsid w:val="00640571"/>
    <w:rsid w:val="0065217E"/>
    <w:rsid w:val="00681662"/>
    <w:rsid w:val="00695082"/>
    <w:rsid w:val="00696B96"/>
    <w:rsid w:val="006C3E9B"/>
    <w:rsid w:val="007139E7"/>
    <w:rsid w:val="0074402A"/>
    <w:rsid w:val="00751D37"/>
    <w:rsid w:val="007720A0"/>
    <w:rsid w:val="00797135"/>
    <w:rsid w:val="007A02F5"/>
    <w:rsid w:val="007B5F70"/>
    <w:rsid w:val="007C63EB"/>
    <w:rsid w:val="007E1767"/>
    <w:rsid w:val="00820D4A"/>
    <w:rsid w:val="008426E0"/>
    <w:rsid w:val="008733E6"/>
    <w:rsid w:val="008816E8"/>
    <w:rsid w:val="008912CD"/>
    <w:rsid w:val="008A0F26"/>
    <w:rsid w:val="008A60F3"/>
    <w:rsid w:val="008A6147"/>
    <w:rsid w:val="008F1248"/>
    <w:rsid w:val="00946573"/>
    <w:rsid w:val="00946734"/>
    <w:rsid w:val="009C7083"/>
    <w:rsid w:val="00A767E2"/>
    <w:rsid w:val="00A913F3"/>
    <w:rsid w:val="00AC7DA9"/>
    <w:rsid w:val="00B03BB5"/>
    <w:rsid w:val="00B163F0"/>
    <w:rsid w:val="00B325E2"/>
    <w:rsid w:val="00B64EAB"/>
    <w:rsid w:val="00B64F8A"/>
    <w:rsid w:val="00B94D4A"/>
    <w:rsid w:val="00B9672E"/>
    <w:rsid w:val="00BB3F3C"/>
    <w:rsid w:val="00BE5C73"/>
    <w:rsid w:val="00C0742D"/>
    <w:rsid w:val="00C402F6"/>
    <w:rsid w:val="00C5077A"/>
    <w:rsid w:val="00C5790E"/>
    <w:rsid w:val="00C87FD7"/>
    <w:rsid w:val="00CB1E49"/>
    <w:rsid w:val="00D1525D"/>
    <w:rsid w:val="00D373DA"/>
    <w:rsid w:val="00D44D9E"/>
    <w:rsid w:val="00D51C7D"/>
    <w:rsid w:val="00D75B10"/>
    <w:rsid w:val="00DB28FC"/>
    <w:rsid w:val="00DD4817"/>
    <w:rsid w:val="00DE43F8"/>
    <w:rsid w:val="00DF40FC"/>
    <w:rsid w:val="00E04185"/>
    <w:rsid w:val="00E04EE7"/>
    <w:rsid w:val="00E11512"/>
    <w:rsid w:val="00E326EB"/>
    <w:rsid w:val="00E55C79"/>
    <w:rsid w:val="00E7150D"/>
    <w:rsid w:val="00E71C2A"/>
    <w:rsid w:val="00E73110"/>
    <w:rsid w:val="00E94645"/>
    <w:rsid w:val="00E97233"/>
    <w:rsid w:val="00EF2736"/>
    <w:rsid w:val="00EF47E5"/>
    <w:rsid w:val="00EF6697"/>
    <w:rsid w:val="00F2186A"/>
    <w:rsid w:val="00F36CDC"/>
    <w:rsid w:val="00F45EF1"/>
    <w:rsid w:val="00F71018"/>
    <w:rsid w:val="00F72A3E"/>
    <w:rsid w:val="00F776A0"/>
    <w:rsid w:val="00FA3271"/>
    <w:rsid w:val="00FB38C0"/>
    <w:rsid w:val="00FE750C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C09F9"/>
  <w15:chartTrackingRefBased/>
  <w15:docId w15:val="{7A7A432A-26EC-427F-B415-C85F0F20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36"/>
  </w:style>
  <w:style w:type="paragraph" w:styleId="Heading1">
    <w:name w:val="heading 1"/>
    <w:basedOn w:val="Normal"/>
    <w:next w:val="Normal"/>
    <w:link w:val="Heading1Char"/>
    <w:uiPriority w:val="9"/>
    <w:qFormat/>
    <w:rsid w:val="00EF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7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F4"/>
  </w:style>
  <w:style w:type="paragraph" w:styleId="Footer">
    <w:name w:val="footer"/>
    <w:basedOn w:val="Normal"/>
    <w:link w:val="FooterChar"/>
    <w:uiPriority w:val="99"/>
    <w:unhideWhenUsed/>
    <w:rsid w:val="0018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F4"/>
  </w:style>
  <w:style w:type="paragraph" w:styleId="Revision">
    <w:name w:val="Revision"/>
    <w:hidden/>
    <w:uiPriority w:val="99"/>
    <w:semiHidden/>
    <w:rsid w:val="00E972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showsnsw.org.au/resources/general-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showsnsw.org.au/resources/general-inf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gshowsnsw.org.au/resources/general-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2703b905b8a481917c9ed053e34ad752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a20154f67e107b16e50ddea7048d7924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0457C-4594-4003-9037-7BD0BDC0D3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2.xml><?xml version="1.0" encoding="utf-8"?>
<ds:datastoreItem xmlns:ds="http://schemas.openxmlformats.org/officeDocument/2006/customXml" ds:itemID="{82AD03D8-8F11-4319-B076-BF7FB6D94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94E62-7EB9-437B-9EB2-D1727919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Admin</dc:creator>
  <cp:keywords/>
  <dc:description/>
  <cp:lastModifiedBy>ASC Admin</cp:lastModifiedBy>
  <cp:revision>45</cp:revision>
  <dcterms:created xsi:type="dcterms:W3CDTF">2025-07-23T04:31:00Z</dcterms:created>
  <dcterms:modified xsi:type="dcterms:W3CDTF">2025-08-18T03:10:00Z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